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D" w:rsidRDefault="0050687D" w:rsidP="0050687D">
      <w:pPr>
        <w:rPr>
          <w:rFonts w:ascii="Arial" w:eastAsia="Times New Roman" w:hAnsi="Arial" w:cs="Arial"/>
          <w:b/>
          <w:sz w:val="24"/>
          <w:szCs w:val="24"/>
        </w:rPr>
      </w:pPr>
      <w:r w:rsidRPr="00190E13">
        <w:rPr>
          <w:rFonts w:ascii="Arial" w:eastAsia="Times New Roman" w:hAnsi="Arial" w:cs="Arial"/>
          <w:b/>
          <w:sz w:val="24"/>
          <w:szCs w:val="24"/>
        </w:rPr>
        <w:t>URLOP DLA PORATOWANIA ZDROWIA I PRZEBYWANIE W PLACÓWCE</w:t>
      </w:r>
    </w:p>
    <w:p w:rsidR="0050687D" w:rsidRPr="00190E13" w:rsidRDefault="0050687D" w:rsidP="0050687D">
      <w:pPr>
        <w:rPr>
          <w:rFonts w:ascii="Arial" w:eastAsia="Times New Roman" w:hAnsi="Arial" w:cs="Arial"/>
          <w:b/>
          <w:sz w:val="24"/>
          <w:szCs w:val="24"/>
        </w:rPr>
      </w:pPr>
    </w:p>
    <w:p w:rsidR="0050687D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>W odpowiedzi na zapytanie dotyczące możliwości lub zakazu wejścia na teren placówki</w:t>
      </w:r>
      <w:r>
        <w:rPr>
          <w:rFonts w:ascii="Arial" w:eastAsia="Times New Roman" w:hAnsi="Arial" w:cs="Arial"/>
          <w:sz w:val="24"/>
          <w:szCs w:val="24"/>
        </w:rPr>
        <w:t xml:space="preserve"> oświatowej przez nauczyciela bę</w:t>
      </w:r>
      <w:r w:rsidRPr="00190E13">
        <w:rPr>
          <w:rFonts w:ascii="Arial" w:eastAsia="Times New Roman" w:hAnsi="Arial" w:cs="Arial"/>
          <w:sz w:val="24"/>
          <w:szCs w:val="24"/>
        </w:rPr>
        <w:t xml:space="preserve">dącego pracownikiem tej placówki wskazuję, że przepisy szeroko rozumianego prawa oświatowego nie zawierają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>w istocie postanowień w tej kwestii. Zgodnie z §2 rozporządzenia Ministra Edukacji Narodowej i Sportu z dnia 31 grudnia 2002 r. w sprawie bezpieczeństwa i higieny w publicznych i niepublicznych szkołach i placówkach (</w:t>
      </w:r>
      <w:proofErr w:type="spellStart"/>
      <w:r w:rsidRPr="00190E13">
        <w:rPr>
          <w:rFonts w:ascii="Arial" w:eastAsia="Times New Roman" w:hAnsi="Arial" w:cs="Arial"/>
          <w:sz w:val="24"/>
          <w:szCs w:val="24"/>
        </w:rPr>
        <w:t>Dz.U</w:t>
      </w:r>
      <w:proofErr w:type="spellEnd"/>
      <w:r w:rsidRPr="00190E13">
        <w:rPr>
          <w:rFonts w:ascii="Arial" w:eastAsia="Times New Roman" w:hAnsi="Arial" w:cs="Arial"/>
          <w:sz w:val="24"/>
          <w:szCs w:val="24"/>
        </w:rPr>
        <w:t xml:space="preserve">. z 2003 r., Nr 6, poz. 69) dyrektor zapewnia bezpieczne i higieniczne warunki pobytu w szkole lub placówce,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>a także bezpieczne i higieniczne warunki uczestnictwa w zajęciach organizowanych przez szkołę lub placówkę poza obiektami należącymi do tych jednostek. 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 xml:space="preserve">Z uwagi na to, że to, kto przebywa na terenie placówki ma realny wpływ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 xml:space="preserve">na bezpieczeństwo uczniów i pracowników, to w gestii dyrektora jest taka organizacja pracy placówki i określenie reguł przebywania na terenie szkoły, aby zapewnić bezpieczne warunki pobytu w szkole zarówno uczniów, nauczycieli, jak i pozostałych pracowników szkoły. Ewentualne przepisy dotyczące przebywania pracowników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>na terenie placówki powinny wynikać z obowiązującego w placówce regulaminu pracy, który powinien określać sposób dokumentowania wejść i wyjść na teren szkoły, możliwość przebywania na terenie placówki poza godzinami zajęć i inne podobne kwestie. Co do możliwości przebywania na terenie placówki innych osób (rodzice, opiekunowie, osoby trzecie) to kwestie te powinny być rozstrzygnięte w regulaminie przebywania na terenie szkoły rodziców i osób trzecich. 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 xml:space="preserve">Jeżeli obowiązujący regulamin pracy nie zakazuje pobytu pracownika w szkole,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 xml:space="preserve">w czasie gdy nie świadczy on na rzecz pracodawcy pracy (poza godzinami zajęć,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 xml:space="preserve">w dni wolne od pracy itp.), brak jest w istocie możliwości (poza wskazanym wyżej ogólnym przepisem §2 rozporządzenia z dnia 31 grudnia 2002 r.), aby w stosunku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 xml:space="preserve">do konkretnego pracownika taki zakaz był przez dyrektora wydany (chyba że chodzi </w:t>
      </w:r>
      <w:r>
        <w:rPr>
          <w:rFonts w:ascii="Arial" w:eastAsia="Times New Roman" w:hAnsi="Arial" w:cs="Arial"/>
          <w:sz w:val="24"/>
          <w:szCs w:val="24"/>
        </w:rPr>
        <w:br/>
      </w:r>
      <w:r w:rsidRPr="00190E13">
        <w:rPr>
          <w:rFonts w:ascii="Arial" w:eastAsia="Times New Roman" w:hAnsi="Arial" w:cs="Arial"/>
          <w:sz w:val="24"/>
          <w:szCs w:val="24"/>
        </w:rPr>
        <w:t>o doraźne zapewnienie bezpieczeństwa, jednak w tym przypadku ewentualny zakaz powinien zostać uzasadniony okolicznościami) tym bardziej, że jeśli taki zakaz dotyczyłby tylko konkretnych nauczycieli, można by takie postępowanie dyrektora zasadnie kwalifikować jako naruszenie zasady równego traktowania w zatrudnieniu bądź dyskryminację.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0687D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  <w:r w:rsidRPr="00190E13">
        <w:rPr>
          <w:rFonts w:ascii="Arial" w:eastAsia="Times New Roman" w:hAnsi="Arial" w:cs="Arial"/>
          <w:sz w:val="24"/>
          <w:szCs w:val="24"/>
        </w:rPr>
        <w:t>Zgodnie z przepisem art. 73 ust. 7 Karty Nauczyciela w okresie przebywania na urlopie dla poratowania zdrowia nauczyciel nie może nawiązać stosunku pracy lub podjąć innej działalności zarobkowej. Działalność zarobkowa to działalność ukierunkowana na cel (zamiar) zarobkowy. W konsekwencji nie jest działalnością zarobkową działalność nieprowadzona w celu zarobkowym (np. typu non profit). Stwierdzić zatem należy, że wszelkiego rodzaju działalność społeczna, w tym związkowa, wykonywania w czasie urlopu dla poratowania zdrowia, jest dopuszczaln</w:t>
      </w:r>
      <w:r>
        <w:rPr>
          <w:rFonts w:ascii="Arial" w:eastAsia="Times New Roman" w:hAnsi="Arial" w:cs="Arial"/>
          <w:sz w:val="24"/>
          <w:szCs w:val="24"/>
        </w:rPr>
        <w:t>a. Przez wykonywanie</w:t>
      </w:r>
      <w:r w:rsidRPr="00190E13">
        <w:rPr>
          <w:rFonts w:ascii="Arial" w:eastAsia="Times New Roman" w:hAnsi="Arial" w:cs="Arial"/>
          <w:sz w:val="24"/>
          <w:szCs w:val="24"/>
        </w:rPr>
        <w:t xml:space="preserve"> działalności społecznej rozumieć należy zarówno uczestnictwo w posiedzeniach ciał statutowych stowarzyszeń, fundacji czy związków zawodowych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90E13">
        <w:rPr>
          <w:rFonts w:ascii="Arial" w:eastAsia="Times New Roman" w:hAnsi="Arial" w:cs="Arial"/>
          <w:sz w:val="24"/>
          <w:szCs w:val="24"/>
        </w:rPr>
        <w:t xml:space="preserve"> a także piastowanie funkcji w tych organizacjach, oczywiście o ile praca na rzecz tych podmiotów nie jest wykonywana w ramach stosunku pracy (por. J. Lisowski, Ł. Pater, K. Stradomski, Karta Nauczyciela. Komentarz, Wyd. 1, Warszawa 2017).</w:t>
      </w:r>
    </w:p>
    <w:p w:rsidR="0050687D" w:rsidRPr="00190E13" w:rsidRDefault="0050687D" w:rsidP="0050687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65C77" w:rsidRDefault="0050687D" w:rsidP="0050687D">
      <w:pPr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90E13">
        <w:rPr>
          <w:rFonts w:ascii="Arial" w:eastAsia="Times New Roman" w:hAnsi="Arial" w:cs="Arial"/>
          <w:sz w:val="24"/>
          <w:szCs w:val="24"/>
        </w:rPr>
        <w:t>mec. Tomasz Kędra</w:t>
      </w:r>
      <w:bookmarkStart w:id="0" w:name="_GoBack"/>
      <w:bookmarkEnd w:id="0"/>
    </w:p>
    <w:sectPr w:rsidR="00D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7E"/>
    <w:rsid w:val="0050687D"/>
    <w:rsid w:val="00A22D7E"/>
    <w:rsid w:val="00D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7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7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2</cp:revision>
  <dcterms:created xsi:type="dcterms:W3CDTF">2017-10-19T10:26:00Z</dcterms:created>
  <dcterms:modified xsi:type="dcterms:W3CDTF">2017-10-19T10:26:00Z</dcterms:modified>
</cp:coreProperties>
</file>